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6E" w:rsidRDefault="000F026E" w:rsidP="000F026E">
      <w:pPr>
        <w:pStyle w:val="1"/>
        <w:rPr>
          <w:szCs w:val="18"/>
        </w:rPr>
      </w:pPr>
      <w:r>
        <w:t>(97-02-9)2,4-二硝基苯胺的理化及危险特性表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025"/>
        <w:gridCol w:w="2474"/>
        <w:gridCol w:w="2182"/>
      </w:tblGrid>
      <w:tr w:rsidR="000F026E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中文名：2,4-二硝基苯胺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</w:t>
            </w:r>
            <w:r>
              <w:rPr>
                <w:rFonts w:ascii="宋体" w:hAnsi="宋体" w:hint="eastAsia"/>
                <w:szCs w:val="18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2,4-dinitroaniline  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分子量：183.13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UN编号：1596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61778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CAS号：97-02-9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外观与性状：黄色针状结晶。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：不溶于水，微溶于乙醇，溶于热盐酸。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</w:t>
            </w:r>
            <w:r>
              <w:rPr>
                <w:rFonts w:ascii="宋体" w:hAnsi="宋体" w:hint="eastAsia"/>
              </w:rPr>
              <w:t>180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相对密度（水＝1）：1.62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相对密度（空气＝1）：6.31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0F026E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无意义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 一氧化碳、二氧化碳、氧化氮。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强氧化剂、强酸、酰基氯、酸酐。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遇明火、高热可燃。受热分解产生有毒的烟气。与强氧化剂接触可发生化学反应。具有爆炸性，但只有在强起爆药引爆下才能起爆。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灭火方法：采用雾状水、泡沫、干粉、二氧化碳、砂土灭火。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418 mg/kg(大鼠经口) 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0F026E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吸入、口服或经皮肤吸收后，可引起中毒死亡。对眼睛、粘膜、呼吸道及皮肤有刺激作用。吸收进入体内引起高铁血红蛋白血症，出现紫绀。中毒表现有恶心、眩晕、头痛等。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皮肤接触：立即脱去污染的衣着，用肥皂水和清水彻底冲洗皮肤。就医。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※呼吸系统防护：可能接触其粉尘时，必须佩戴头罩型电动送风过滤式防尘呼吸器。紧急事态抢救或撤离时，应该佩戴自给式呼吸器。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：呼吸系统防护中已作防护。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：穿胶布防毒衣。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 w:rsidR="000F026E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0F026E" w:rsidRDefault="000F026E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6E"/>
    <w:rsid w:val="000F026E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10B91-EF04-4F14-B715-8C0E1751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F026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026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zyhq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